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Resumen ejecutivo para evaluar inversiones solidaristas</w:t>
      </w:r>
    </w:p>
    <w:p>
      <w:pPr>
        <w:pStyle w:val="Sourcenote"/>
      </w:pPr>
      <w:r>
        <w:t>Para junta directiva y comité de inversión  |  9 de octubre de 2026</w:t>
      </w:r>
    </w:p>
    <w:p>
      <w:r>
        <w:t>Recomendamos priorizar la liquidez necesaria para retiros y gastos, y evaluar después depósitos de corto plazo con vencimientos escalonados y fondos de liquidez en la moneda de las obligaciones. Las colocaciones deben distribuirse entre entidades y grupos económicos conforme a la política de la asociación.</w:t>
      </w:r>
    </w:p>
    <w:p>
      <w:pPr>
        <w:pStyle w:val="Heading1"/>
      </w:pPr>
      <w:r>
        <w:t>Entidades para una primera cotización</w:t>
      </w:r>
    </w:p>
    <w:tbl>
      <w:tblPr>
        <w:tblW w:type="auto" w:w="0"/>
        <w:jc w:val="center"/>
        <w:tblLayout w:type="fixed"/>
        <w:tblLook w:firstColumn="1" w:firstRow="1" w:lastColumn="0" w:lastRow="0" w:noHBand="0" w:noVBand="1" w:val="04A0"/>
      </w:tblPr>
      <w:tblGrid>
        <w:gridCol w:w="4493"/>
        <w:gridCol w:w="1814"/>
        <w:gridCol w:w="1858"/>
        <w:gridCol w:w="1829"/>
      </w:tblGrid>
      <w:tr>
        <w:trPr>
          <w:cantSplit/>
          <w:tblHeader/>
        </w:trPr>
        <w:tc>
          <w:tcPr>
            <w:tcW w:type="dxa" w:w="4493"/>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17314C"/>
          </w:tcPr>
          <w:p>
            <w:pPr>
              <w:spacing w:after="0" w:line="259" w:lineRule="auto"/>
            </w:pPr>
            <w:r>
              <w:rPr>
                <w:b/>
                <w:color w:val="FFFFFF"/>
                <w:sz w:val="21"/>
              </w:rPr>
              <w:t>Entidad</w:t>
            </w:r>
          </w:p>
        </w:tc>
        <w:tc>
          <w:tcPr>
            <w:tcW w:type="dxa" w:w="181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17314C"/>
          </w:tcPr>
          <w:p>
            <w:pPr>
              <w:spacing w:after="0" w:line="259" w:lineRule="auto"/>
              <w:jc w:val="center"/>
            </w:pPr>
            <w:r>
              <w:rPr>
                <w:b/>
                <w:color w:val="FFFFFF"/>
                <w:sz w:val="21"/>
              </w:rPr>
              <w:t>ISP junio 2026</w:t>
            </w:r>
          </w:p>
        </w:tc>
        <w:tc>
          <w:tcPr>
            <w:tcW w:type="dxa" w:w="1858"/>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17314C"/>
          </w:tcPr>
          <w:p>
            <w:pPr>
              <w:spacing w:after="0" w:line="259" w:lineRule="auto"/>
              <w:jc w:val="center"/>
            </w:pPr>
            <w:r>
              <w:rPr>
                <w:b/>
                <w:color w:val="FFFFFF"/>
                <w:sz w:val="21"/>
              </w:rPr>
              <w:t>Morosidad julio</w:t>
            </w:r>
          </w:p>
        </w:tc>
        <w:tc>
          <w:tcPr>
            <w:tcW w:type="dxa" w:w="1829"/>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17314C"/>
          </w:tcPr>
          <w:p>
            <w:pPr>
              <w:spacing w:after="0" w:line="259" w:lineRule="auto"/>
              <w:jc w:val="center"/>
            </w:pPr>
            <w:r>
              <w:rPr>
                <w:b/>
                <w:color w:val="FFFFFF"/>
                <w:sz w:val="21"/>
              </w:rPr>
              <w:t>ROE de entidad</w:t>
            </w:r>
          </w:p>
        </w:tc>
      </w:tr>
      <w:tr>
        <w:trPr>
          <w:cantSplit/>
        </w:trPr>
        <w:tc>
          <w:tcPr>
            <w:tcW w:type="dxa" w:w="4493"/>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pPr>
            <w:r>
              <w:rPr>
                <w:sz w:val="21"/>
              </w:rPr>
              <w:t>Banco Nacional</w:t>
            </w:r>
          </w:p>
        </w:tc>
        <w:tc>
          <w:tcPr>
            <w:tcW w:type="dxa" w:w="181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15,11%</w:t>
            </w:r>
          </w:p>
        </w:tc>
        <w:tc>
          <w:tcPr>
            <w:tcW w:type="dxa" w:w="1858"/>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2,46%</w:t>
            </w:r>
          </w:p>
        </w:tc>
        <w:tc>
          <w:tcPr>
            <w:tcW w:type="dxa" w:w="1829"/>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11,61%</w:t>
            </w:r>
          </w:p>
        </w:tc>
      </w:tr>
      <w:tr>
        <w:trPr>
          <w:cantSplit/>
        </w:trPr>
        <w:tc>
          <w:tcPr>
            <w:tcW w:type="dxa" w:w="4493"/>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pPr>
            <w:r>
              <w:rPr>
                <w:sz w:val="21"/>
              </w:rPr>
              <w:t>Banco BAC San José</w:t>
            </w:r>
          </w:p>
        </w:tc>
        <w:tc>
          <w:tcPr>
            <w:tcW w:type="dxa" w:w="181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14,06%</w:t>
            </w:r>
          </w:p>
        </w:tc>
        <w:tc>
          <w:tcPr>
            <w:tcW w:type="dxa" w:w="1858"/>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1,21%</w:t>
            </w:r>
          </w:p>
        </w:tc>
        <w:tc>
          <w:tcPr>
            <w:tcW w:type="dxa" w:w="1829"/>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12,82%</w:t>
            </w:r>
          </w:p>
        </w:tc>
      </w:tr>
      <w:tr>
        <w:trPr>
          <w:cantSplit/>
        </w:trPr>
        <w:tc>
          <w:tcPr>
            <w:tcW w:type="dxa" w:w="4493"/>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pPr>
            <w:r>
              <w:rPr>
                <w:sz w:val="21"/>
              </w:rPr>
              <w:t>Banco General</w:t>
            </w:r>
          </w:p>
        </w:tc>
        <w:tc>
          <w:tcPr>
            <w:tcW w:type="dxa" w:w="181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32,13%</w:t>
            </w:r>
          </w:p>
        </w:tc>
        <w:tc>
          <w:tcPr>
            <w:tcW w:type="dxa" w:w="1858"/>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1,27%</w:t>
            </w:r>
          </w:p>
        </w:tc>
        <w:tc>
          <w:tcPr>
            <w:tcW w:type="dxa" w:w="1829"/>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2,50%</w:t>
            </w:r>
          </w:p>
        </w:tc>
      </w:tr>
      <w:tr>
        <w:trPr>
          <w:cantSplit/>
        </w:trPr>
        <w:tc>
          <w:tcPr>
            <w:tcW w:type="dxa" w:w="4493"/>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pPr>
            <w:r>
              <w:rPr>
                <w:sz w:val="21"/>
              </w:rPr>
              <w:t>MUCAP</w:t>
            </w:r>
          </w:p>
        </w:tc>
        <w:tc>
          <w:tcPr>
            <w:tcW w:type="dxa" w:w="181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15,83%</w:t>
            </w:r>
          </w:p>
        </w:tc>
        <w:tc>
          <w:tcPr>
            <w:tcW w:type="dxa" w:w="1858"/>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2,40%</w:t>
            </w:r>
          </w:p>
        </w:tc>
        <w:tc>
          <w:tcPr>
            <w:tcW w:type="dxa" w:w="1829"/>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4,60%</w:t>
            </w:r>
          </w:p>
        </w:tc>
      </w:tr>
      <w:tr>
        <w:trPr>
          <w:cantSplit/>
        </w:trPr>
        <w:tc>
          <w:tcPr>
            <w:tcW w:type="dxa" w:w="4493"/>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pPr>
            <w:r>
              <w:rPr>
                <w:sz w:val="21"/>
              </w:rPr>
              <w:t>Grupo Mutual</w:t>
            </w:r>
          </w:p>
        </w:tc>
        <w:tc>
          <w:tcPr>
            <w:tcW w:type="dxa" w:w="181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14,64%</w:t>
            </w:r>
          </w:p>
        </w:tc>
        <w:tc>
          <w:tcPr>
            <w:tcW w:type="dxa" w:w="1858"/>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2,33%</w:t>
            </w:r>
          </w:p>
        </w:tc>
        <w:tc>
          <w:tcPr>
            <w:tcW w:type="dxa" w:w="1829"/>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5,01%</w:t>
            </w:r>
          </w:p>
        </w:tc>
      </w:tr>
    </w:tbl>
    <w:p>
      <w:pPr>
        <w:pStyle w:val="Sourcenote"/>
      </w:pPr>
    </w:p>
    <w:p>
      <w:pPr>
        <w:pStyle w:val="Sourcenote"/>
      </w:pPr>
      <w:r>
        <w:t>Fuentes: 1. Suf Patrimonial columna O y 2. Indicadores códigos 61000 y 81000. El ROE mide rentabilidad de la entidad, no la tasa ofrecida al inversionista.</w:t>
      </w:r>
    </w:p>
    <w:p>
      <w:r>
        <w:t>El filtro del panel requiere ISP de al menos 14%, morosidad de hasta 3%, ROE positivo y compromiso patrimonial de hasta 10%. Es una herramienta de preselección, no una calificación oficial. Las cinco entidades de la tabla cumplen estos criterios en el archivo.</w:t>
      </w:r>
    </w:p>
    <w:p>
      <w:pPr>
        <w:pStyle w:val="Heading1"/>
      </w:pPr>
      <w:r>
        <w:t>Decisión sugerida</w:t>
      </w:r>
    </w:p>
    <w:p>
      <w:r>
        <w:t>Solicitar cotizaciones comparables a Banco Nacional, BAC San José y Banco General. MUCAP y Grupo Mutual amplían la evaluación. Actualizar solvencia, calificaciones y condiciones del producto antes de proponer una distribución por monto, moneda y plazo. Esta es una preselección analítica a partir de datos históricos, sin tasas ni disponibilidad de productos confirmadas.</w:t>
      </w:r>
    </w:p>
    <w:p>
      <w:pPr>
        <w:pStyle w:val="Sourcenote"/>
      </w:pPr>
      <w:r>
        <w:t>La solvencia de BAC supera el filtro de 14% por solo 0,06 puntos porcentuales. En Banco General debe confirmarse el acceso al producto y sus mínimos. La comparación final debe incluir precio o tasa neta, moneda, plazo, costos y retiro anticipado.</w:t>
      </w:r>
    </w:p>
    <w:p>
      <w:pPr>
        <w:pStyle w:val="Heading1"/>
        <w:pageBreakBefore/>
      </w:pPr>
      <w:r>
        <w:t>Hallazgos y controles para la inversión</w:t>
      </w:r>
    </w:p>
    <w:p>
      <w:pPr>
        <w:pStyle w:val="Heading2"/>
      </w:pPr>
      <w:r>
        <w:t>39 entidades tienen ISP en junio de 2026</w:t>
      </w:r>
    </w:p>
    <w:p>
      <w:r>
        <w:t>Los 39 valores disponibles están por encima del 10% de capital base respecto a riesgos. Esto no acredita por sí solo normalidad financiera: deben revisarse calidad del capital y apalancamiento. Cinco entidades históricas del archivo no tienen dato en 2T 2026.</w:t>
      </w:r>
    </w:p>
    <w:p>
      <w:pPr>
        <w:pStyle w:val="Sourcenote"/>
      </w:pPr>
      <w:r>
        <w:t>1. Suf Patrimonial!O2:O45; SUGEF 3-06 versión 75</w:t>
      </w:r>
    </w:p>
    <w:p>
      <w:pPr>
        <w:pStyle w:val="Heading2"/>
      </w:pPr>
      <w:r>
        <w:t>El BCR requiere revisar la tendencia</w:t>
      </w:r>
    </w:p>
    <w:p>
      <w:r>
        <w:t>Su ISP pasa de 15,19% en 2T 2025 a 13,37% en 2T 2026, una reducción de 1,82 puntos porcentuales. Está por debajo del criterio analítico de 14% del panel y por encima del mínimo de capital base de 10%.</w:t>
      </w:r>
    </w:p>
    <w:p>
      <w:pPr>
        <w:pStyle w:val="Sourcenote"/>
      </w:pPr>
      <w:r>
        <w:t>1. Suf Patrimonial!K2 y O2</w:t>
      </w:r>
    </w:p>
    <w:p>
      <w:pPr>
        <w:pStyle w:val="Heading2"/>
      </w:pPr>
      <w:r>
        <w:t>La exposición cambiaria alcanza 64,17%</w:t>
      </w:r>
    </w:p>
    <w:p>
      <w:r>
        <w:t>Es la razón entre ₡4,986 billones expuestos y ₡7,770 billones de cartera total en junio de 2026. Describe el sistema reportado y no la exposición propia de una asociación ni una pérdida esperada.</w:t>
      </w:r>
    </w:p>
    <w:p>
      <w:pPr>
        <w:pStyle w:val="Sourcenote"/>
      </w:pPr>
      <w:r>
        <w:t>5. Cartera $!B9/F9</w:t>
      </w:r>
    </w:p>
    <w:p>
      <w:pPr>
        <w:pStyle w:val="Heading2"/>
      </w:pPr>
      <w:r>
        <w:t>Los catálogos requieren separar registros y productos</w:t>
      </w:r>
    </w:p>
    <w:p>
      <w:r>
        <w:t>Hay 455 filas de títulos, 299 observaciones distintas de calificación y 254 claves de producto. Los fondos tienen 100 observaciones y 99 claves de producto. Se excluyen 156 repeticiones exactas de títulos en la visualización.</w:t>
      </w:r>
    </w:p>
    <w:p>
      <w:pPr>
        <w:pStyle w:val="Sourcenote"/>
      </w:pPr>
      <w:r>
        <w:t>6. Riesgo Local Titulos!A8:J462; 7. Riesgo Local Fondos!A8:J107</w:t>
      </w:r>
    </w:p>
    <w:p>
      <w:pPr>
        <w:pStyle w:val="Heading1"/>
      </w:pPr>
      <w:r>
        <w:t>Prioridades según las necesidades de caja</w:t>
      </w:r>
    </w:p>
    <w:p>
      <w:r>
        <w:t>Para retiros y pagos próximos, evaluar cuentas remuneradas o fondos de liquidez. En el catálogo aparecen Popular Liquidez Mixto Colones, INS Liquidez C e INS Liquidez Público C, con AA+f.cr en el corte de agosto. Confirmar prospecto, concentración, comisiones, permanencia y plazo efectivo de reembolso.</w:t>
      </w:r>
    </w:p>
    <w:p>
      <w:r>
        <w:t>Para excedentes con plazo definido, cotizar depósitos a 3, 6 y 12 meses y escalonar sus vencimientos. Los bonos y fondos de mayor duración requieren capacidad para mantenerlos, tolerancia a cambios de precio y revisión del mercado secundario.</w:t>
      </w:r>
    </w:p>
    <w:p>
      <w:pPr>
        <w:pStyle w:val="Sourcenote"/>
      </w:pPr>
      <w:r>
        <w:t>Banco Popular presenta ISP 21,94%, morosidad 3,01% y ROE 2,49%. La diferencia de 0,01 puntos sobre el filtro de morosidad requiere contexto. Un incumplimiento de un criterio analítico no determina la condición regulatoria de una entidad.</w:t>
      </w:r>
    </w:p>
    <w:p>
      <w:pPr>
        <w:pStyle w:val="Heading1"/>
      </w:pPr>
      <w:r>
        <w:t>Información que falta para asignar montos</w:t>
      </w:r>
    </w:p>
    <w:p>
      <w:r>
        <w:t>Monto disponible, cartera actual, obligaciones por moneda, calendario de retiros y política de inversión. De cada producto: tasa neta o precio, moneda, plazo, mínimos, comisiones, liquidez, calificación vigente y fecha de cotización. Sin estos datos no se calcula una rentabilidad esperada ni se fija una distribución de cartera.</w:t>
      </w:r>
    </w:p>
    <w:p>
      <w:pPr>
        <w:pStyle w:val="Heading1"/>
        <w:pageBreakBefore/>
      </w:pPr>
      <w:r>
        <w:t>Preguntas y respuestas para la junta</w:t>
      </w:r>
    </w:p>
    <w:p>
      <w:pPr>
        <w:keepNext/>
        <w:spacing w:before="160"/>
      </w:pPr>
      <w:r>
        <w:rPr>
          <w:b/>
          <w:sz w:val="22"/>
        </w:rPr>
        <w:t>1. ¿Dónde conviene empezar a evaluar una inversión?</w:t>
      </w:r>
    </w:p>
    <w:p>
      <w:r>
        <w:t>En depósitos de corto plazo y fondos de liquidez en la moneda de los pagos de la asociación. Pedir cotizaciones a Banco Nacional, BAC San José y Banco General, y comparar MUCAP y Grupo Mutual. La decisión exige condiciones actuales y flujo de caja.</w:t>
      </w:r>
    </w:p>
    <w:p>
      <w:pPr>
        <w:keepNext/>
        <w:spacing w:before="160"/>
      </w:pPr>
      <w:r>
        <w:rPr>
          <w:b/>
          <w:sz w:val="22"/>
        </w:rPr>
        <w:t>2. ¿Cuál es la mejor entidad del archivo?</w:t>
      </w:r>
    </w:p>
    <w:p>
      <w:r>
        <w:t>El archivo no permite elegir una única mejor entidad. Un ISP alto debe leerse junto con morosidad, rentabilidad, liquidez, concentración y acceso al producto. Una contraparte puede tener datos favorables y ofrecer un instrumento inadecuado para el plazo de la asociación.</w:t>
      </w:r>
    </w:p>
    <w:p>
      <w:pPr>
        <w:keepNext/>
        <w:spacing w:before="160"/>
      </w:pPr>
      <w:r>
        <w:rPr>
          <w:b/>
          <w:sz w:val="22"/>
        </w:rPr>
        <w:t>3. ¿Qué es el ISP y qué porcentaje conviene revisar?</w:t>
      </w:r>
    </w:p>
    <w:p>
      <w:r>
        <w:t>El indicador de suficiencia patrimonial mide el capital disponible frente a los riesgos. SUGEF establece 10% para capital base respecto a riesgos. El panel utiliza 14% como filtro analítico prudente, no como obligación regulatoria ni regla universal de Basilea.</w:t>
      </w:r>
    </w:p>
    <w:p>
      <w:pPr>
        <w:keepNext/>
        <w:spacing w:before="160"/>
      </w:pPr>
      <w:r>
        <w:rPr>
          <w:b/>
          <w:sz w:val="22"/>
        </w:rPr>
        <w:t>4. ¿El BCR es insolvente porque su ISP es 13,37%?</w:t>
      </w:r>
    </w:p>
    <w:p>
      <w:r>
        <w:t>Ese valor no permite concluir insolvencia. Supera el 10% de capital base respecto a riesgos, aunque queda por debajo del filtro analítico de 14%. Conviene investigar su tendencia y los indicadores actuales de capital, apalancamiento y liquidez.</w:t>
      </w:r>
    </w:p>
    <w:p>
      <w:pPr>
        <w:keepNext/>
        <w:spacing w:before="160"/>
      </w:pPr>
      <w:r>
        <w:rPr>
          <w:b/>
          <w:sz w:val="22"/>
        </w:rPr>
        <w:t>5. ¿El ROE de 12,82% de BAC es mi rendimiento?</w:t>
      </w:r>
    </w:p>
    <w:p>
      <w:r>
        <w:t>No. Es la rentabilidad nominal sobre el patrimonio promedio de la entidad. El rendimiento de la inversión depende de la tasa o precio del producto, plazo, impuestos y comisiones. El Excel no contiene cotizaciones para calcularlo.</w:t>
      </w:r>
    </w:p>
    <w:p>
      <w:pPr>
        <w:keepNext/>
        <w:spacing w:before="160"/>
      </w:pPr>
      <w:r>
        <w:rPr>
          <w:b/>
          <w:sz w:val="22"/>
        </w:rPr>
        <w:t>6. ¿Cuánto debe dejarse disponible para retiros?</w:t>
      </w:r>
    </w:p>
    <w:p>
      <w:r>
        <w:t>El monto se calcula con el presupuesto de caja y los retiros esperados. Como punto de partida, proyectar tres meses de obligaciones y una reserva adicional acorde con el historial de salidas. Sin ese flujo no corresponde fijar un porcentaje universal.</w:t>
      </w:r>
    </w:p>
    <w:p>
      <w:pPr>
        <w:keepNext/>
        <w:spacing w:before="160"/>
      </w:pPr>
      <w:r>
        <w:rPr>
          <w:b/>
          <w:sz w:val="22"/>
        </w:rPr>
        <w:t>7. ¿Conviene invertir en colones o en dólares?</w:t>
      </w:r>
    </w:p>
    <w:p>
      <w:r>
        <w:t>Conviene hacer coincidir la moneda de la inversión con la de las obligaciones. Invertir en dólares para pagar obligaciones en colones introduce riesgo cambiario. La dolarización debe responder a obligaciones en esa moneda o a una estrategia de cobertura aprobada.</w:t>
      </w:r>
    </w:p>
    <w:p>
      <w:pPr>
        <w:keepNext/>
        <w:spacing w:before="160"/>
      </w:pPr>
      <w:r>
        <w:rPr>
          <w:b/>
          <w:sz w:val="22"/>
        </w:rPr>
        <w:t>8. ¿Qué significa el 64,17% de exposición cambiaria?</w:t>
      </w:r>
    </w:p>
    <w:p>
      <w:r>
        <w:t>Es el saldo clasificado con exposición al riesgo cambiario dividido entre la cartera total reportada en junio. No es la probabilidad de perder dinero, ni la proporción de la cartera de la asociación, ni un indicador individual de cada banco.</w:t>
      </w:r>
    </w:p>
    <w:p>
      <w:pPr>
        <w:keepNext/>
        <w:spacing w:before="160"/>
      </w:pPr>
      <w:r>
        <w:rPr>
          <w:b/>
          <w:sz w:val="22"/>
        </w:rPr>
        <w:t>9. ¿Qué fondos de liquidez conviene revisar?</w:t>
      </w:r>
    </w:p>
    <w:p>
      <w:r>
        <w:t>El catálogo incluye Popular Liquidez Mixto Colones, INS Liquidez C e INS Liquidez Público C, todos con AA+f.cr en el corte. Son ejemplos para revisar prospectos, concentración, comisiones, rendimientos y reembolsos. No se verificó su disponibilidad actual.</w:t>
      </w:r>
    </w:p>
    <w:p>
      <w:pPr>
        <w:pStyle w:val="Heading1"/>
        <w:pageBreakBefore/>
      </w:pPr>
      <w:r>
        <w:t>Preguntas y respuestas sobre riesgos y decisiones</w:t>
      </w:r>
    </w:p>
    <w:p>
      <w:pPr>
        <w:keepNext/>
        <w:spacing w:before="160"/>
      </w:pPr>
      <w:r>
        <w:rPr>
          <w:b/>
          <w:sz w:val="22"/>
        </w:rPr>
        <w:t>10. ¿Una calificación AAA local elimina el riesgo?</w:t>
      </w:r>
    </w:p>
    <w:p>
      <w:r>
        <w:t>La calificación expresa calidad relativa dentro de su escala y metodología. No elimina el riesgo de incumplimiento, precio o liquidez. Las escalas nacionales, internacionales y de fondos no deben compararse como si fueran idénticas.</w:t>
      </w:r>
    </w:p>
    <w:p>
      <w:pPr>
        <w:keepNext/>
        <w:spacing w:before="160"/>
      </w:pPr>
      <w:r>
        <w:rPr>
          <w:b/>
          <w:sz w:val="22"/>
        </w:rPr>
        <w:t>11. ¿Un fondo de liquidez permite retirar inmediatamente?</w:t>
      </w:r>
    </w:p>
    <w:p>
      <w:r>
        <w:t>El nombre no confirma disponibilidad inmediata. Deben revisarse horario de solicitud, plazo de reembolso, permanencia mínima, comisión de salida y condiciones extraordinarias. También importa la liquidez de los activos que componen el fondo.</w:t>
      </w:r>
    </w:p>
    <w:p>
      <w:pPr>
        <w:keepNext/>
        <w:spacing w:before="160"/>
      </w:pPr>
      <w:r>
        <w:rPr>
          <w:b/>
          <w:sz w:val="22"/>
        </w:rPr>
        <w:t>12. ¿Los depósitos están garantizados por completo?</w:t>
      </w:r>
    </w:p>
    <w:p>
      <w:r>
        <w:t>La página del BCCR publica un máximo de ₡6 millones de principal por persona y entidad contribuyente, sujeto a elegibilidad y exclusiones. No debe suponerse que toda una colocación institucional está cubierta ni que la garantía se aplica a bonos o fondos.</w:t>
      </w:r>
    </w:p>
    <w:p>
      <w:pPr>
        <w:keepNext/>
        <w:spacing w:before="160"/>
      </w:pPr>
      <w:r>
        <w:rPr>
          <w:b/>
          <w:sz w:val="22"/>
        </w:rPr>
        <w:t>13. ¿Cuánto conviene colocar en una sola entidad?</w:t>
      </w:r>
    </w:p>
    <w:p>
      <w:r>
        <w:t>La junta debe definir límites por entidad y grupo económico según la política y el tamaño de la cartera. Hay que sumar depósitos, bonos y exposición indirecta en fondos del mismo grupo. El Excel no contiene las posiciones de la asociación para medir concentración.</w:t>
      </w:r>
    </w:p>
    <w:p>
      <w:pPr>
        <w:keepNext/>
        <w:spacing w:before="160"/>
      </w:pPr>
      <w:r>
        <w:rPr>
          <w:b/>
          <w:sz w:val="22"/>
        </w:rPr>
        <w:t>14. ¿Qué datos faltan para una recomendación de asignación?</w:t>
      </w:r>
    </w:p>
    <w:p>
      <w:r>
        <w:t>Monto, cartera actual, obligaciones por moneda, horizonte, retiros esperados, política de inversión y pérdidas tolerables. De los productos faltan tasas netas, precios, vencimientos, mínimos, comisiones y liquidez. Esos datos permiten pasar de preselección a propuesta concreta.</w:t>
      </w:r>
    </w:p>
    <w:p>
      <w:pPr>
        <w:keepNext/>
        <w:spacing w:before="160"/>
      </w:pPr>
      <w:r>
        <w:rPr>
          <w:b/>
          <w:sz w:val="22"/>
        </w:rPr>
        <w:t>15. ¿Por qué se excluyeron 156 filas de títulos?</w:t>
      </w:r>
    </w:p>
    <w:p>
      <w:r>
        <w:t>Son repeticiones exactas de los diez campos de la fuente. Se conserva una observación con sus números de fila originales. Las calificaciones distintas para el mismo producto se mantienen; por eso 299 observaciones corresponden a 254 claves de producto.</w:t>
      </w:r>
    </w:p>
    <w:p>
      <w:pPr>
        <w:keepNext/>
        <w:spacing w:before="160"/>
      </w:pPr>
      <w:r>
        <w:rPr>
          <w:b/>
          <w:sz w:val="22"/>
        </w:rPr>
        <w:t>16. ¿Las probabilidades históricas de la hoja país predicen una pérdida?</w:t>
      </w:r>
    </w:p>
    <w:p>
      <w:r>
        <w:t>No. La tabla académica de escalas es independiente del catálogo de países. Sus promedios históricos no son probabilidades actuales de cada soberano ni pronósticos de una inversión. El panel conserva ambas tablas por separado.</w:t>
      </w:r>
    </w:p>
    <w:p>
      <w:pPr>
        <w:keepNext/>
        <w:spacing w:before="160"/>
      </w:pPr>
      <w:r>
        <w:rPr>
          <w:b/>
          <w:sz w:val="22"/>
        </w:rPr>
        <w:t>17. ¿El panel actualiza los datos automáticamente?</w:t>
      </w:r>
    </w:p>
    <w:p>
      <w:r>
        <w:t>Esta versión es un corte histórico del Excel. La solvencia llega a junio, indicadores y estados muestran el período 1 de julio y las calificaciones se extrajeron el 18 de agosto de 2026. Las fuentes oficiales están enlazadas para comprobar vigencia.</w:t>
      </w:r>
    </w:p>
    <w:p>
      <w:pPr>
        <w:keepNext/>
        <w:spacing w:before="160"/>
      </w:pPr>
      <w:r>
        <w:rPr>
          <w:b/>
          <w:sz w:val="22"/>
        </w:rPr>
        <w:t>18. ¿Qué decisión puede tomar hoy la junta directiva?</w:t>
      </w:r>
    </w:p>
    <w:p>
      <w:r>
        <w:t>Autorizar la recopilación de cotizaciones comparables y una revisión de las contrapartes. Encargar un calendario de vencimientos ligado al flujo de caja y presentar después una asignación por moneda, plazo y grupo. La contratación necesita completar ese análisis.</w:t>
      </w:r>
    </w:p>
    <w:p>
      <w:pPr>
        <w:pStyle w:val="Heading1"/>
        <w:pageBreakBefore/>
      </w:pPr>
      <w:r>
        <w:t>Fuentes y alcance del análisis</w:t>
      </w:r>
    </w:p>
    <w:p>
      <w:r>
        <w:t>Archivo principal: Arca de Datos (SFRD  Solidarity financial-Risk jul 2026)(2).xlsx. La fuente original se atribuye a Quantum. Los hallazgos corresponden al Excel entregado y las prioridades de evaluación son una elaboración analítica independiente, preparada a solicitud de Adrián Alfaro.</w:t>
      </w:r>
    </w:p>
    <w:tbl>
      <w:tblPr>
        <w:tblW w:type="auto" w:w="0"/>
        <w:jc w:val="center"/>
        <w:tblLayout w:type="fixed"/>
        <w:tblLook w:firstColumn="1" w:firstRow="1" w:lastColumn="0" w:lastRow="0" w:noHBand="0" w:noVBand="1" w:val="04A0"/>
      </w:tblPr>
      <w:tblGrid>
        <w:gridCol w:w="4824"/>
        <w:gridCol w:w="5170"/>
      </w:tblGrid>
      <w:tr>
        <w:trPr>
          <w:cantSplit/>
          <w:tblHeader/>
        </w:trPr>
        <w:tc>
          <w:tcPr>
            <w:tcW w:type="dxa" w:w="482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17314C"/>
          </w:tcPr>
          <w:p>
            <w:pPr>
              <w:spacing w:after="0" w:line="259" w:lineRule="auto"/>
            </w:pPr>
            <w:r>
              <w:rPr>
                <w:b/>
                <w:color w:val="FFFFFF"/>
                <w:sz w:val="21"/>
              </w:rPr>
              <w:t>Información</w:t>
            </w:r>
          </w:p>
        </w:tc>
        <w:tc>
          <w:tcPr>
            <w:tcW w:type="dxa" w:w="5170"/>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17314C"/>
          </w:tcPr>
          <w:p>
            <w:pPr>
              <w:spacing w:after="0" w:line="259" w:lineRule="auto"/>
              <w:jc w:val="center"/>
            </w:pPr>
            <w:r>
              <w:rPr>
                <w:b/>
                <w:color w:val="FFFFFF"/>
                <w:sz w:val="21"/>
              </w:rPr>
              <w:t>Período del archivo</w:t>
            </w:r>
          </w:p>
        </w:tc>
      </w:tr>
      <w:tr>
        <w:trPr>
          <w:cantSplit/>
        </w:trPr>
        <w:tc>
          <w:tcPr>
            <w:tcW w:type="dxa" w:w="482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pPr>
            <w:r>
              <w:rPr>
                <w:sz w:val="21"/>
              </w:rPr>
              <w:t>Suficiencia patrimonial</w:t>
            </w:r>
          </w:p>
        </w:tc>
        <w:tc>
          <w:tcPr>
            <w:tcW w:type="dxa" w:w="5170"/>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1T 2023 a 2T 2026</w:t>
            </w:r>
          </w:p>
        </w:tc>
      </w:tr>
      <w:tr>
        <w:trPr>
          <w:cantSplit/>
        </w:trPr>
        <w:tc>
          <w:tcPr>
            <w:tcW w:type="dxa" w:w="482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pPr>
            <w:r>
              <w:rPr>
                <w:sz w:val="21"/>
              </w:rPr>
              <w:t>Indicadores balance y resultados</w:t>
            </w:r>
          </w:p>
        </w:tc>
        <w:tc>
          <w:tcPr>
            <w:tcW w:type="dxa" w:w="5170"/>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Filtro de período 01/07/2026</w:t>
            </w:r>
          </w:p>
        </w:tc>
      </w:tr>
      <w:tr>
        <w:trPr>
          <w:cantSplit/>
        </w:trPr>
        <w:tc>
          <w:tcPr>
            <w:tcW w:type="dxa" w:w="482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pPr>
            <w:r>
              <w:rPr>
                <w:sz w:val="21"/>
              </w:rPr>
              <w:t>Cartera con exposición cambiaria</w:t>
            </w:r>
          </w:p>
        </w:tc>
        <w:tc>
          <w:tcPr>
            <w:tcW w:type="dxa" w:w="5170"/>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Junio de 2026</w:t>
            </w:r>
          </w:p>
        </w:tc>
      </w:tr>
      <w:tr>
        <w:trPr>
          <w:cantSplit/>
        </w:trPr>
        <w:tc>
          <w:tcPr>
            <w:tcW w:type="dxa" w:w="482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pPr>
            <w:r>
              <w:rPr>
                <w:sz w:val="21"/>
              </w:rPr>
              <w:t>Calificaciones de títulos y fondos</w:t>
            </w:r>
          </w:p>
        </w:tc>
        <w:tc>
          <w:tcPr>
            <w:tcW w:type="dxa" w:w="5170"/>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1F5F8"/>
          </w:tcPr>
          <w:p>
            <w:pPr>
              <w:spacing w:after="0" w:line="259" w:lineRule="auto"/>
              <w:jc w:val="center"/>
            </w:pPr>
            <w:r>
              <w:rPr>
                <w:sz w:val="21"/>
              </w:rPr>
              <w:t>Extracción 18/08/2026</w:t>
            </w:r>
          </w:p>
        </w:tc>
      </w:tr>
      <w:tr>
        <w:trPr>
          <w:cantSplit/>
        </w:trPr>
        <w:tc>
          <w:tcPr>
            <w:tcW w:type="dxa" w:w="4824"/>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pPr>
            <w:r>
              <w:rPr>
                <w:sz w:val="21"/>
              </w:rPr>
              <w:t>Calificaciones soberanas</w:t>
            </w:r>
          </w:p>
        </w:tc>
        <w:tc>
          <w:tcPr>
            <w:tcW w:type="dxa" w:w="5170"/>
            <w:vAlign w:val="center"/>
            <w:tcMar>
              <w:top w:w="115" w:type="dxa"/>
              <w:bottom w:w="115" w:type="dxa"/>
              <w:left w:w="135" w:type="dxa"/>
              <w:right w:w="135"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sz w:val="21"/>
              </w:rPr>
              <w:t>Fecha de hoja 18/08/2026</w:t>
            </w:r>
          </w:p>
        </w:tc>
      </w:tr>
    </w:tbl>
    <w:p>
      <w:pPr>
        <w:pStyle w:val="Sourcenote"/>
      </w:pPr>
    </w:p>
    <w:p>
      <w:pPr>
        <w:pStyle w:val="Heading1"/>
      </w:pPr>
      <w:r>
        <w:t>Comprobaciones oficiales</w:t>
      </w:r>
    </w:p>
    <w:p>
      <w:r>
        <w:t>Consultas de referencia realizadas el 9 de octubre de 2026. Los enlaces sirven para revisar vigencia y condiciones. No sustituyen ni actualizan automáticamente los valores históricos del Excel.</w:t>
      </w:r>
    </w:p>
    <w:p>
      <w:pPr>
        <w:pStyle w:val="Sourcenote"/>
        <w:spacing w:after="120"/>
      </w:pPr>
      <w:r>
        <w:t xml:space="preserve">1. </w:t>
      </w:r>
      <w:hyperlink r:id="rId10">
        <w:r>
          <w:rPr>
            <w:color w:val="087C6D"/>
            <w:u w:val="single"/>
          </w:rPr>
          <w:t>SUGEF suficiencia patrimonial</w:t>
        </w:r>
      </w:hyperlink>
      <w:r>
        <w:t>. Histórico oficial y publicación trimestral del ISP.</w:t>
      </w:r>
    </w:p>
    <w:p>
      <w:pPr>
        <w:pStyle w:val="Sourcenote"/>
        <w:spacing w:after="120"/>
      </w:pPr>
      <w:r>
        <w:t xml:space="preserve">2. </w:t>
      </w:r>
      <w:hyperlink r:id="rId11">
        <w:r>
          <w:rPr>
            <w:color w:val="087C6D"/>
            <w:u w:val="single"/>
          </w:rPr>
          <w:t>SUGEF 3 06 versión 75</w:t>
        </w:r>
      </w:hyperlink>
      <w:r>
        <w:t>. Mínimo de capital base respecto a riesgos de 10%. Se debe revisar además calidad del capital y apalancamiento.</w:t>
      </w:r>
    </w:p>
    <w:p>
      <w:pPr>
        <w:pStyle w:val="Sourcenote"/>
        <w:spacing w:after="120"/>
      </w:pPr>
      <w:r>
        <w:t xml:space="preserve">3. </w:t>
      </w:r>
      <w:hyperlink r:id="rId12">
        <w:r>
          <w:rPr>
            <w:color w:val="087C6D"/>
            <w:u w:val="single"/>
          </w:rPr>
          <w:t>SUGEVAL información para inversionistas</w:t>
        </w:r>
      </w:hyperlink>
      <w:r>
        <w:t>. Verificación de participantes inscritos y educación sobre inversiones.</w:t>
      </w:r>
    </w:p>
    <w:p>
      <w:pPr>
        <w:pStyle w:val="Sourcenote"/>
        <w:spacing w:after="120"/>
      </w:pPr>
      <w:r>
        <w:t xml:space="preserve">4. </w:t>
      </w:r>
      <w:hyperlink r:id="rId13">
        <w:r>
          <w:rPr>
            <w:color w:val="087C6D"/>
            <w:u w:val="single"/>
          </w:rPr>
          <w:t>SUGEVAL industria de fondos</w:t>
        </w:r>
      </w:hyperlink>
      <w:r>
        <w:t>. Rendimientos históricos, duración, comisiones y permanencia de fondos.</w:t>
      </w:r>
    </w:p>
    <w:p>
      <w:pPr>
        <w:pStyle w:val="Sourcenote"/>
        <w:spacing w:after="120"/>
      </w:pPr>
      <w:r>
        <w:t xml:space="preserve">5. </w:t>
      </w:r>
      <w:hyperlink r:id="rId14">
        <w:r>
          <w:rPr>
            <w:color w:val="087C6D"/>
            <w:u w:val="single"/>
          </w:rPr>
          <w:t>SUGEVAL prospectos de fondos</w:t>
        </w:r>
      </w:hyperlink>
      <w:r>
        <w:t>. Condiciones de reembolso, moneda, comisiones y política de inversión.</w:t>
      </w:r>
    </w:p>
    <w:p>
      <w:pPr>
        <w:pStyle w:val="Sourcenote"/>
        <w:spacing w:after="120"/>
      </w:pPr>
      <w:r>
        <w:t xml:space="preserve">6. </w:t>
      </w:r>
      <w:hyperlink r:id="rId15">
        <w:r>
          <w:rPr>
            <w:color w:val="087C6D"/>
            <w:u w:val="single"/>
          </w:rPr>
          <w:t>BCCR productos garantizados por el FGD</w:t>
        </w:r>
      </w:hyperlink>
      <w:r>
        <w:t>. Máximo publicado de seis millones de colones de principal por persona y entidad contribuyente. Revisar elegibilidad y exclusiones.</w:t>
      </w:r>
    </w:p>
    <w:p>
      <w:pPr>
        <w:pStyle w:val="Heading1"/>
      </w:pPr>
      <w:r>
        <w:t>Tratamiento de datos y límites</w:t>
      </w:r>
    </w:p>
    <w:p>
      <w:r>
        <w:t>Se unificaron 49 entidades por alias. Las 156 repeticiones exactas de títulos se representan una vez, con sus referencias. Se conservaron por separado las observaciones de calificación, los productos y la tabla académica de probabilidades históricas. Las razones financieras se muestran como veces.</w:t>
      </w:r>
    </w:p>
    <w:p>
      <w:r>
        <w:t>No se inventaron fechas para las celdas H102 e I102 de fondos. La moneda de balances y resultados no está indicada en la exportación y el panel muestra millones de unidades originales. Los resultados de julio no se presumen anuales ni acumulados.</w:t>
      </w:r>
    </w:p>
    <w:p>
      <w:pPr>
        <w:pStyle w:val="Sourcenote"/>
      </w:pPr>
      <w:r>
        <w:t>Esta evaluación no es un dictamen ni una recomendación formal emitida por Quantum. La contratación requiere validar condiciones actuales y datos de la asociación. El panel conserva el descargo original.</w:t>
      </w:r>
    </w:p>
    <w:sectPr w:rsidR="00FC693F" w:rsidRPr="0006063C" w:rsidSect="00034616">
      <w:footerReference w:type="default" r:id="rId9"/>
      <w:pgSz w:w="12240" w:h="15840"/>
      <w:pgMar w:top="950" w:right="1123" w:bottom="950" w:left="1123"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86878"/>
        <w:sz w:val="16"/>
      </w:rPr>
      <w:t xml:space="preserve">Arca Financiera  |  9 oct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line="26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line="264" w:lineRule="auto"/>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64"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pPr>
      <w:spacing w:after="140" w:line="252" w:lineRule="auto"/>
    </w:pPr>
    <w:rPr>
      <w:rFonts w:ascii="Calibri" w:hAnsi="Calibri"/>
      <w:color w:val="5868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sugef.fi.cr/reportes/Suficiencia%20Patrimonial.aspx" TargetMode="External"/><Relationship Id="rId11" Type="http://schemas.openxmlformats.org/officeDocument/2006/relationships/hyperlink" Target="https://www.sugef.fi.cr/normativa/normativa_vigente/SUGEF%203-06%20(v75%2026%20junio%202026).pdf" TargetMode="External"/><Relationship Id="rId12" Type="http://schemas.openxmlformats.org/officeDocument/2006/relationships/hyperlink" Target="https://www.sugeval.fi.cr/cr/es/informacion-inversionistas.html" TargetMode="External"/><Relationship Id="rId13" Type="http://schemas.openxmlformats.org/officeDocument/2006/relationships/hyperlink" Target="https://serviciosexternos.sugeval.fi.cr/RNVIWeb/MenuPrincipal/IndustriaFondosInversion" TargetMode="External"/><Relationship Id="rId14" Type="http://schemas.openxmlformats.org/officeDocument/2006/relationships/hyperlink" Target="https://serviciosexternos.sugeval.fi.cr/RNVIWeb/MenuPrincipal/ProspectosFondos" TargetMode="External"/><Relationship Id="rId15" Type="http://schemas.openxmlformats.org/officeDocument/2006/relationships/hyperlink" Target="https://www.bccr.fi.cr/cr/es/fondo-garantia-depositos/productos-garantizad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ejecutivo para evaluar inversiones solidaristas</dc:title>
  <dc:subject>Evaluación preliminar de colocaciones de asociaciones solidaristas</dc:subject>
  <dc:creator>Adrián Alfaro</dc:creator>
  <cp:keywords>inversión, solvencia, solidarismo, riesgo financiero</cp:keywords>
  <dc:description>generated by python-docx</dc:description>
  <cp:lastModifiedBy/>
  <cp:revision>1</cp:revision>
  <dcterms:created xsi:type="dcterms:W3CDTF">2013-12-23T23:15:00Z</dcterms:created>
  <dcterms:modified xsi:type="dcterms:W3CDTF">2013-12-23T23:15:00Z</dcterms:modified>
  <cp:category/>
</cp:coreProperties>
</file>